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1" w:type="dxa"/>
        <w:jc w:val="left"/>
        <w:tblInd w:w="-601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"/>
        <w:gridCol w:w="959"/>
        <w:gridCol w:w="3260"/>
        <w:gridCol w:w="1011"/>
        <w:gridCol w:w="260"/>
        <w:gridCol w:w="4081"/>
        <w:gridCol w:w="177"/>
      </w:tblGrid>
      <w:tr>
        <w:trPr>
          <w:trHeight w:val="450" w:hRule="atLeast"/>
          <w:cantSplit w:val="true"/>
        </w:trPr>
        <w:tc>
          <w:tcPr>
            <w:tcW w:w="12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Акционер:</w:t>
            </w:r>
          </w:p>
        </w:tc>
        <w:tc>
          <w:tcPr>
            <w:tcW w:w="4271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26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 xml:space="preserve">Ч и с л о    г о л о с о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в</w:t>
            </w:r>
          </w:p>
        </w:tc>
      </w:tr>
      <w:tr>
        <w:trPr>
          <w:trHeight w:val="690" w:hRule="atLeast"/>
          <w:cantSplit w:val="true"/>
        </w:trPr>
        <w:tc>
          <w:tcPr>
            <w:tcW w:w="12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70" w:beforeAutospacing="1" w:afterAutospacing="1"/>
              <w:jc w:val="center"/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/>
            </w:r>
          </w:p>
        </w:tc>
        <w:tc>
          <w:tcPr>
            <w:tcW w:w="4271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2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  <w:tc>
          <w:tcPr>
            <w:tcW w:w="26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70" w:beforeAutospacing="1" w:afterAutospacing="1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258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2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772" w:type="dxa"/>
            <w:gridSpan w:val="5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Принцип голосования "одна акция - один голос":          </w:t>
            </w:r>
          </w:p>
        </w:tc>
        <w:tc>
          <w:tcPr>
            <w:tcW w:w="425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</w:tr>
      <w:tr>
        <w:trPr>
          <w:cantSplit w:val="true"/>
        </w:trPr>
        <w:tc>
          <w:tcPr>
            <w:tcW w:w="5772" w:type="dxa"/>
            <w:gridSpan w:val="5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Кумулятивных:</w:t>
            </w:r>
          </w:p>
        </w:tc>
        <w:tc>
          <w:tcPr>
            <w:tcW w:w="425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</w:tr>
      <w:tr>
        <w:trPr/>
        <w:tc>
          <w:tcPr>
            <w:tcW w:w="282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1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eastAsia="Times New Roman" w:cs="Times New Roman"/>
                <w:u w:val="none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Место нахождения общества</w:t>
            </w:r>
          </w:p>
        </w:tc>
        <w:tc>
          <w:tcPr>
            <w:tcW w:w="5352" w:type="dxa"/>
            <w:gridSpan w:val="3"/>
            <w:tcBorders/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</w:r>
          </w:p>
          <w:p>
            <w:pPr>
              <w:pStyle w:val="Normal"/>
              <w:bidi w:val="0"/>
              <w:spacing w:lineRule="auto" w:line="240" w:before="113" w:after="113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414009, г. Астрахань, ул. Набережная Тимирязева, д. 64</w:t>
            </w:r>
          </w:p>
        </w:tc>
        <w:tc>
          <w:tcPr>
            <w:tcW w:w="177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2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1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Форма проведения общего собрания</w:t>
            </w:r>
          </w:p>
        </w:tc>
        <w:tc>
          <w:tcPr>
            <w:tcW w:w="5352" w:type="dxa"/>
            <w:gridSpan w:val="3"/>
            <w:tcBorders/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Собрание</w:t>
            </w:r>
          </w:p>
        </w:tc>
        <w:tc>
          <w:tcPr>
            <w:tcW w:w="177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2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1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Дата проведения общего собрания акционеров</w:t>
            </w:r>
          </w:p>
        </w:tc>
        <w:tc>
          <w:tcPr>
            <w:tcW w:w="535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bidi w:val="0"/>
              <w:spacing w:lineRule="auto" w:line="240" w:before="113" w:after="113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08.06.2018 года</w:t>
            </w:r>
          </w:p>
        </w:tc>
        <w:tc>
          <w:tcPr>
            <w:tcW w:w="177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2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1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 xml:space="preserve">Время начала собрания: </w:t>
            </w:r>
          </w:p>
        </w:tc>
        <w:tc>
          <w:tcPr>
            <w:tcW w:w="5352" w:type="dxa"/>
            <w:gridSpan w:val="3"/>
            <w:tcBorders/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 xml:space="preserve">14:00 часов  </w:t>
            </w:r>
          </w:p>
        </w:tc>
        <w:tc>
          <w:tcPr>
            <w:tcW w:w="177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2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19" w:type="dxa"/>
            <w:gridSpan w:val="2"/>
            <w:tcBorders>
              <w:bottom w:val="outset" w:sz="6" w:space="0" w:color="00000A"/>
              <w:insideH w:val="outset" w:sz="6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Место проведения общего собрания акционеров</w:t>
            </w:r>
          </w:p>
        </w:tc>
        <w:tc>
          <w:tcPr>
            <w:tcW w:w="5352" w:type="dxa"/>
            <w:gridSpan w:val="3"/>
            <w:tcBorders>
              <w:bottom w:val="outset" w:sz="6" w:space="0" w:color="00000A"/>
              <w:insideH w:val="outset" w:sz="6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 w:before="113" w:after="113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414009, г. Астрахань, ул. Набережная Тимирязева, д. 64</w:t>
            </w:r>
          </w:p>
        </w:tc>
        <w:tc>
          <w:tcPr>
            <w:tcW w:w="177" w:type="dxa"/>
            <w:tcBorders/>
            <w:shd w:fill="auto" w:val="clear"/>
            <w:tcMar>
              <w:left w:w="22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Autospacing="1"/>
        <w:ind w:left="57" w:firstLine="567"/>
        <w:contextualSpacing/>
        <w:jc w:val="center"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1.</w:t>
      </w:r>
      <w:r>
        <w:rPr>
          <w:rFonts w:eastAsia="Times New Roman" w:cs="Times New Roman" w:ascii="Times New Roman" w:hAnsi="Times New Roman"/>
          <w:sz w:val="14"/>
          <w:szCs w:val="14"/>
          <w:u w:val="none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Вопрос повестки дня: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 xml:space="preserve"> Утверждение  годового отчета общества.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Утвердить годовой отчет АО  «Первомайский судоремонтный завод»  за 2017 год. 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tbl>
      <w:tblPr>
        <w:tblW w:w="9712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17"/>
        <w:gridCol w:w="3058"/>
        <w:gridCol w:w="3637"/>
      </w:tblGrid>
      <w:tr>
        <w:trPr/>
        <w:tc>
          <w:tcPr>
            <w:tcW w:w="30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0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6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>
        <w:trPr/>
        <w:tc>
          <w:tcPr>
            <w:tcW w:w="30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0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63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 xml:space="preserve">2.       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Вопрос повестки: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Утверждение  годовой бухгалтерской(финансовой)  отчетности общества по итогам 2017  года.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Утвердить годовую бухгалтерскую (финансовую) отчетность     АО  «Первомайский судоремонтный завод».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tbl>
      <w:tblPr>
        <w:tblW w:w="9712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17"/>
        <w:gridCol w:w="3058"/>
        <w:gridCol w:w="3637"/>
      </w:tblGrid>
      <w:tr>
        <w:trPr/>
        <w:tc>
          <w:tcPr>
            <w:tcW w:w="30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0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6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>
        <w:trPr/>
        <w:tc>
          <w:tcPr>
            <w:tcW w:w="30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0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63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 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 xml:space="preserve">3.       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Вопрос повестки дня: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 xml:space="preserve"> Распределение прибыли и убытков общества, по результатам отчетного 2017 года.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Утвердить порядок распределения прибыли и убытков общества по результатам отчетного 2017 года; Начисление дивидендов по обыкновенным акциям общества по результатам 2017 финансового года не производить, в связи с отсутствием источников для выплаты.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tbl>
      <w:tblPr>
        <w:tblW w:w="9712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17"/>
        <w:gridCol w:w="3058"/>
        <w:gridCol w:w="3637"/>
      </w:tblGrid>
      <w:tr>
        <w:trPr/>
        <w:tc>
          <w:tcPr>
            <w:tcW w:w="30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0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6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>
        <w:trPr/>
        <w:tc>
          <w:tcPr>
            <w:tcW w:w="30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0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63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 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 xml:space="preserve">4.    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Вопрос повестки дня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Избрание членов совета директоров общества.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b/>
          <w:b/>
          <w:bCs/>
          <w:color w:val="000000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Избрать в состав Совета директоров следующих кандидатов: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u w:val="none"/>
          <w:lang w:eastAsia="ru-RU"/>
        </w:rPr>
        <w:t> 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tbl>
      <w:tblPr>
        <w:tblW w:w="9705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040"/>
        <w:gridCol w:w="1425"/>
        <w:gridCol w:w="1470"/>
        <w:gridCol w:w="1770"/>
      </w:tblGrid>
      <w:tr>
        <w:trPr>
          <w:trHeight w:val="273" w:hRule="atLeast"/>
        </w:trPr>
        <w:tc>
          <w:tcPr>
            <w:tcW w:w="5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Ф.И.О.</w:t>
            </w:r>
          </w:p>
        </w:tc>
        <w:tc>
          <w:tcPr>
            <w:tcW w:w="466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Голосование кумулятивное</w:t>
            </w:r>
          </w:p>
        </w:tc>
      </w:tr>
      <w:tr>
        <w:trPr/>
        <w:tc>
          <w:tcPr>
            <w:tcW w:w="50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2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  <w:tc>
          <w:tcPr>
            <w:tcW w:w="4665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Варианты голосования</w:t>
            </w:r>
          </w:p>
        </w:tc>
      </w:tr>
      <w:tr>
        <w:trPr/>
        <w:tc>
          <w:tcPr>
            <w:tcW w:w="50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2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>
        <w:trPr/>
        <w:tc>
          <w:tcPr>
            <w:tcW w:w="50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before="0" w:after="0"/>
              <w:ind w:left="360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Овсянников Александр Александрович</w:t>
            </w:r>
          </w:p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0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before="0" w:after="0"/>
              <w:ind w:left="360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Овсянников Анатолий Алексеевич </w:t>
            </w:r>
          </w:p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91" w:hRule="atLeast"/>
        </w:trPr>
        <w:tc>
          <w:tcPr>
            <w:tcW w:w="50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before="0" w:after="0"/>
              <w:ind w:left="360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Скворцова Анна Юрьевна</w:t>
            </w:r>
          </w:p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  <w:tc>
          <w:tcPr>
            <w:tcW w:w="17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</w:tr>
      <w:tr>
        <w:trPr/>
        <w:tc>
          <w:tcPr>
            <w:tcW w:w="50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before="0" w:after="0"/>
              <w:ind w:left="360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Чикин Алексей Дмитриевич</w:t>
            </w:r>
          </w:p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</w:trPr>
        <w:tc>
          <w:tcPr>
            <w:tcW w:w="50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before="0" w:after="0"/>
              <w:ind w:left="360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Ядрин Владимир Яковлевич</w:t>
            </w:r>
          </w:p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iCs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iCs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i/>
          <w:i/>
          <w:iCs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i/>
          <w:i/>
          <w:iCs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5.      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Вопрос повестки дня: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Избрание Ревизионной комиссии АО  «Первомайский судоремонтный завод».</w:t>
      </w:r>
    </w:p>
    <w:p>
      <w:pPr>
        <w:pStyle w:val="Normal"/>
        <w:widowControl w:val="false"/>
        <w:spacing w:lineRule="auto" w:line="240" w:before="0" w:after="160"/>
        <w:contextualSpacing/>
        <w:rPr>
          <w:rFonts w:ascii="Calibri" w:hAnsi="Calibri" w:eastAsia="Times New Roman" w:cs="Times New Roman"/>
          <w:sz w:val="18"/>
          <w:szCs w:val="18"/>
          <w:u w:val="none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>
        <w:rPr>
          <w:rFonts w:eastAsia="Times New Roman" w:ascii="Times New Roman" w:hAnsi="Times New Roman"/>
          <w:bCs/>
          <w:iCs/>
          <w:sz w:val="18"/>
          <w:szCs w:val="18"/>
          <w:u w:val="none"/>
          <w:lang w:eastAsia="ru-RU"/>
        </w:rPr>
        <w:t>Избрать в состав Ревизионной комиссии следующих кандидатов: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991"/>
        <w:gridCol w:w="1414"/>
        <w:gridCol w:w="1365"/>
        <w:gridCol w:w="1725"/>
      </w:tblGrid>
      <w:tr>
        <w:trPr>
          <w:trHeight w:val="465" w:hRule="atLeast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Ф.И.О.</w:t>
            </w:r>
          </w:p>
        </w:tc>
        <w:tc>
          <w:tcPr>
            <w:tcW w:w="450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Варианты голосования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4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>
        <w:trPr>
          <w:trHeight w:val="330" w:hRule="atLeast"/>
        </w:trPr>
        <w:tc>
          <w:tcPr>
            <w:tcW w:w="4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lineRule="auto" w:line="240" w:before="0" w:after="0"/>
              <w:ind w:left="360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sz w:val="18"/>
                <w:szCs w:val="18"/>
              </w:rPr>
              <w:t>Нуртазаев Аслумбек Максутович</w:t>
            </w:r>
          </w:p>
        </w:tc>
        <w:tc>
          <w:tcPr>
            <w:tcW w:w="1414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6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4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lineRule="auto" w:line="240" w:before="0" w:after="0"/>
              <w:ind w:left="360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sz w:val="18"/>
                <w:szCs w:val="18"/>
              </w:rPr>
              <w:t>Литвиненко Александр Николаевич</w:t>
            </w:r>
          </w:p>
        </w:tc>
        <w:tc>
          <w:tcPr>
            <w:tcW w:w="1414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6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4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Msonormalmailrucssattributepostfix"/>
              <w:widowControl w:val="false"/>
              <w:spacing w:lineRule="auto" w:line="240" w:before="0" w:after="0"/>
              <w:ind w:left="360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 w:cstheme="minorBidi" w:eastAsiaTheme="minorHAnsi"/>
                <w:sz w:val="18"/>
                <w:szCs w:val="18"/>
              </w:rPr>
              <w:t>Литвиненко Вячеслав Николаевич</w:t>
            </w:r>
          </w:p>
        </w:tc>
        <w:tc>
          <w:tcPr>
            <w:tcW w:w="1414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6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left w:w="98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 xml:space="preserve">  </w:t>
      </w:r>
    </w:p>
    <w:p>
      <w:pPr>
        <w:pStyle w:val="Normal"/>
        <w:widowControl w:val="false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 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6.       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Вопрос повестки дня: </w:t>
      </w:r>
      <w:r>
        <w:rPr>
          <w:rFonts w:cs="Times New Roman" w:ascii="Times New Roman" w:hAnsi="Times New Roman"/>
          <w:sz w:val="18"/>
          <w:szCs w:val="18"/>
          <w:u w:val="none"/>
        </w:rPr>
        <w:t>Утверждение аудитора Общества.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У</w:t>
      </w:r>
      <w:r>
        <w:rPr>
          <w:rFonts w:cs="Times New Roman" w:ascii="Times New Roman" w:hAnsi="Times New Roman"/>
          <w:sz w:val="18"/>
          <w:szCs w:val="18"/>
          <w:u w:val="none"/>
        </w:rPr>
        <w:t>твердить, ООО АФ «МиА-Аудит» в качестве аудитора               АО «ПЕРВОМАЙСКИЙ СРЗ» на 2018 год.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tbl>
      <w:tblPr>
        <w:tblW w:w="9712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17"/>
        <w:gridCol w:w="3058"/>
        <w:gridCol w:w="3637"/>
      </w:tblGrid>
      <w:tr>
        <w:trPr/>
        <w:tc>
          <w:tcPr>
            <w:tcW w:w="30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0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6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>
        <w:trPr/>
        <w:tc>
          <w:tcPr>
            <w:tcW w:w="30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0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63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 w:eastAsia="Times New Roman" w:cs="Times New Roman"/>
          <w:sz w:val="18"/>
          <w:szCs w:val="1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u w:val="none"/>
          <w:lang w:eastAsia="ru-RU"/>
        </w:rPr>
        <w:t>  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u w:val="none"/>
          <w:lang w:eastAsia="ru-RU"/>
        </w:rPr>
        <w:t>Подпись акционера (представителя акционера)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 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 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________________________/___________________________________________________________/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u w:val="none"/>
          <w:lang w:eastAsia="ru-RU"/>
        </w:rPr>
        <w:t>подпись                                                                 (Фамилия И.О.)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u w:val="none"/>
          <w:lang w:eastAsia="ru-RU"/>
        </w:rPr>
        <w:t> 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u w:val="none"/>
          <w:lang w:eastAsia="ru-RU"/>
        </w:rPr>
        <w:t> </w:t>
      </w:r>
    </w:p>
    <w:p>
      <w:pPr>
        <w:pStyle w:val="Normal"/>
        <w:widowControl w:val="false"/>
        <w:spacing w:lineRule="auto" w:line="240" w:before="0" w:after="0"/>
        <w:ind w:left="57" w:right="57" w:hanging="0"/>
        <w:contextualSpacing/>
        <w:rPr>
          <w:rFonts w:eastAsia="Times New Roman" w:cs="Times New Roman"/>
          <w:b/>
          <w:b/>
          <w:bCs/>
          <w:sz w:val="24"/>
          <w:szCs w:val="24"/>
          <w:u w:val="none"/>
          <w:lang w:eastAsia="ru-RU"/>
        </w:rPr>
      </w:pPr>
      <w:r>
        <w:rPr>
          <w:rFonts w:ascii="Times New Roman" w:hAnsi="Times New Roman"/>
          <w:sz w:val="18"/>
          <w:szCs w:val="18"/>
        </w:rPr>
      </w:r>
    </w:p>
    <w:sectPr>
      <w:headerReference w:type="default" r:id="rId2"/>
      <w:type w:val="nextPage"/>
      <w:pgSz w:w="11906" w:h="16838"/>
      <w:pgMar w:left="1560" w:right="850" w:header="708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64" w:type="dxa"/>
      <w:jc w:val="left"/>
      <w:tblInd w:w="30" w:type="dxa"/>
      <w:tblBorders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40"/>
      <w:gridCol w:w="224"/>
    </w:tblGrid>
    <w:tr>
      <w:trPr>
        <w:trHeight w:val="288" w:hRule="atLeast"/>
      </w:trPr>
      <w:tc>
        <w:tcPr>
          <w:tcW w:w="9240" w:type="dxa"/>
          <w:tcBorders/>
          <w:shd w:fill="auto" w:val="clear"/>
        </w:tcPr>
        <w:sdt>
          <w:sdtPr>
            <w:text/>
            <w:id w:val="149203114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alias w:val="Заголовок"/>
          </w:sdtPr>
          <w:sdtContent>
            <w:p>
              <w:pPr>
                <w:pStyle w:val="Style20"/>
                <w:jc w:val="center"/>
                <w:rPr>
                  <w:rFonts w:ascii="Cambria" w:hAnsi="Cambria" w:eastAsia="" w:cs="" w:asciiTheme="majorHAnsi" w:cstheme="majorBidi" w:eastAsiaTheme="majorEastAsia" w:hAnsiTheme="majorHAnsi"/>
                  <w:sz w:val="36"/>
                  <w:szCs w:val="36"/>
                </w:rPr>
              </w:pPr>
              <w:r>
                <w:rPr>
                  <w:rFonts w:eastAsia="Times New Roman" w:cs="Times New Roman" w:ascii="Times New Roman" w:hAnsi="Times New Roman"/>
                  <w:b/>
                  <w:bCs/>
                  <w:sz w:val="24"/>
                  <w:szCs w:val="24"/>
                  <w:u w:val="none"/>
                  <w:lang w:eastAsia="ru-RU"/>
                </w:rPr>
                <w:t>Акционерное общество «Первомайский судоремонтный завод»                                                                          БЮЛЛЕТЕНЬ  (для голосования на годовом общем собрании акционеров)</w:t>
              </w:r>
            </w:p>
          </w:sdtContent>
        </w:sdt>
      </w:tc>
      <w:tc>
        <w:tcPr>
          <w:tcW w:w="224" w:type="dxa"/>
          <w:tcBorders/>
          <w:shd w:fill="auto" w:val="clear"/>
        </w:tcPr>
        <w:p>
          <w:pPr>
            <w:pStyle w:val="Style20"/>
            <w:rPr>
              <w:rFonts w:ascii="Cambria" w:hAnsi="Cambria" w:eastAsia="" w:cs="" w:asciiTheme="majorHAnsi" w:cstheme="majorBidi" w:eastAsiaTheme="majorEastAsia" w:hAnsiTheme="majorHAnsi"/>
              <w:b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eastAsia="" w:cs="" w:cstheme="majorBidi" w:eastAsiaTheme="majorEastAsia" w:ascii="Cambria" w:hAnsi="Cambria"/>
              <w:b/>
              <w:bCs/>
              <w:color w:val="4F81BD" w:themeColor="accent1"/>
              <w:sz w:val="36"/>
              <w:szCs w:val="36"/>
            </w:rPr>
          </w:r>
        </w:p>
      </w:tc>
    </w:tr>
  </w:tbl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04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u w:val="single"/>
      <w:lang w:val="ru-RU" w:eastAsia="en-US" w:bidi="ar-SA"/>
    </w:rPr>
  </w:style>
  <w:style w:type="paragraph" w:styleId="1">
    <w:name w:val="Heading 1"/>
    <w:basedOn w:val="Normal"/>
    <w:link w:val="10"/>
    <w:autoRedefine/>
    <w:uiPriority w:val="9"/>
    <w:qFormat/>
    <w:rsid w:val="00a3118f"/>
    <w:pPr>
      <w:widowControl w:val="false"/>
      <w:spacing w:lineRule="auto" w:line="240" w:before="0" w:after="360"/>
      <w:ind w:firstLine="567"/>
      <w:jc w:val="center"/>
      <w:outlineLvl w:val="0"/>
    </w:pPr>
    <w:rPr>
      <w:rFonts w:ascii="Times New Roman" w:hAnsi="Times New Roman"/>
      <w:b/>
      <w:color w:val="000000"/>
      <w:kern w:val="2"/>
      <w:sz w:val="36"/>
      <w:szCs w:val="48"/>
      <w:u w:val="none"/>
    </w:rPr>
  </w:style>
  <w:style w:type="paragraph" w:styleId="2">
    <w:name w:val="Heading 2"/>
    <w:basedOn w:val="Normal"/>
    <w:link w:val="20"/>
    <w:autoRedefine/>
    <w:uiPriority w:val="99"/>
    <w:qFormat/>
    <w:rsid w:val="00a3118f"/>
    <w:pPr>
      <w:widowControl w:val="false"/>
      <w:spacing w:lineRule="auto" w:line="240" w:before="0" w:after="0"/>
      <w:ind w:firstLine="567"/>
      <w:outlineLvl w:val="1"/>
    </w:pPr>
    <w:rPr>
      <w:rFonts w:ascii="Times New Roman" w:hAnsi="Times New Roman"/>
      <w:b/>
      <w:color w:val="000000"/>
      <w:kern w:val="2"/>
      <w:sz w:val="32"/>
      <w:szCs w:val="40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118f"/>
    <w:rPr>
      <w:rFonts w:ascii="Times New Roman" w:hAnsi="Times New Roman"/>
      <w:b/>
      <w:color w:val="000000"/>
      <w:kern w:val="2"/>
      <w:sz w:val="36"/>
      <w:szCs w:val="48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a3118f"/>
    <w:rPr>
      <w:rFonts w:ascii="Times New Roman" w:hAnsi="Times New Roman"/>
      <w:b/>
      <w:color w:val="000000"/>
      <w:kern w:val="2"/>
      <w:sz w:val="32"/>
      <w:szCs w:val="40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5a6f18"/>
    <w:rPr>
      <w:u w:val="single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5a6f18"/>
    <w:rPr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5a6f18"/>
    <w:rPr>
      <w:rFonts w:ascii="Tahoma" w:hAnsi="Tahoma" w:cs="Tahoma"/>
      <w:sz w:val="16"/>
      <w:szCs w:val="16"/>
      <w:u w:val="single"/>
    </w:rPr>
  </w:style>
  <w:style w:type="character" w:styleId="SUBST" w:customStyle="1">
    <w:name w:val="__SUBST"/>
    <w:qFormat/>
    <w:rsid w:val="00aa69a9"/>
    <w:rPr>
      <w:b/>
      <w:bCs/>
      <w:i/>
      <w:iCs/>
      <w:sz w:val="22"/>
      <w:szCs w:val="22"/>
    </w:rPr>
  </w:style>
  <w:style w:type="character" w:styleId="ListLabel1">
    <w:name w:val="ListLabel 1"/>
    <w:qFormat/>
    <w:rPr>
      <w:rFonts w:eastAsia="Times New Roman" w:cs="Times New Roman"/>
      <w:b/>
      <w:bCs/>
      <w:sz w:val="26"/>
      <w:szCs w:val="26"/>
    </w:rPr>
  </w:style>
  <w:style w:type="character" w:styleId="ListLabel2">
    <w:name w:val="ListLabel 2"/>
    <w:qFormat/>
    <w:rPr>
      <w:rFonts w:eastAsia="Times New Roman" w:cs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Msonormalmailrucssattributepostfix" w:customStyle="1">
    <w:name w:val="msonormal_mailru_css_attribute_postfix"/>
    <w:basedOn w:val="Normal"/>
    <w:qFormat/>
    <w:rsid w:val="005a6f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u w:val="none"/>
      <w:lang w:eastAsia="ru-RU"/>
    </w:rPr>
  </w:style>
  <w:style w:type="paragraph" w:styleId="Consnormalmailrucssattributepostfix" w:customStyle="1">
    <w:name w:val="consnormal_mailru_css_attribute_postfix"/>
    <w:basedOn w:val="Normal"/>
    <w:qFormat/>
    <w:rsid w:val="005a6f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u w:val="none"/>
      <w:lang w:eastAsia="ru-RU"/>
    </w:rPr>
  </w:style>
  <w:style w:type="paragraph" w:styleId="Style20">
    <w:name w:val="Header"/>
    <w:basedOn w:val="Normal"/>
    <w:link w:val="a4"/>
    <w:uiPriority w:val="99"/>
    <w:unhideWhenUsed/>
    <w:rsid w:val="005a6f1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semiHidden/>
    <w:unhideWhenUsed/>
    <w:rsid w:val="005a6f1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5a6f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168a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a69a9"/>
    <w:pPr>
      <w:spacing w:before="0" w:after="16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A74AF015846DF8F946F033DE90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AF4FB-B83D-4CDC-BFCC-07D7BC144DDB}"/>
      </w:docPartPr>
      <w:docPartBody>
        <w:p w:rsidR="000153F5" w:rsidRDefault="00A45BCA" w:rsidP="00A45BCA">
          <w:pPr>
            <w:pStyle w:val="2D0A74AF015846DF8F946F033DE9097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45BCA"/>
    <w:rsid w:val="000153F5"/>
    <w:rsid w:val="00182C66"/>
    <w:rsid w:val="002D6635"/>
    <w:rsid w:val="005D269E"/>
    <w:rsid w:val="00625718"/>
    <w:rsid w:val="008D35AF"/>
    <w:rsid w:val="00A45BCA"/>
    <w:rsid w:val="00C430F2"/>
    <w:rsid w:val="00F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0A74AF015846DF8F946F033DE90974">
    <w:name w:val="2D0A74AF015846DF8F946F033DE90974"/>
    <w:rsid w:val="00A45BCA"/>
  </w:style>
  <w:style w:type="paragraph" w:customStyle="1" w:styleId="DD0E501D2B2F427095542CF33DC7B015">
    <w:name w:val="DD0E501D2B2F427095542CF33DC7B015"/>
    <w:rsid w:val="00A45B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LibreOffice/5.4.0.3$Windows_x86 LibreOffice_project/7556cbc6811c9d992f4064ab9287069087d7f62c</Application>
  <Pages>2</Pages>
  <Words>308</Words>
  <Characters>2204</Characters>
  <CharactersWithSpaces>2710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2018-05-18T08:01:00Z</dcterms:created>
  <dc:creator>USER4</dc:creator>
  <dc:description/>
  <dc:language>ru-RU</dc:language>
  <cp:lastModifiedBy/>
  <dcterms:modified xsi:type="dcterms:W3CDTF">2018-05-23T08:51:11Z</dcterms:modified>
  <cp:revision>7</cp:revision>
  <dc:subject/>
  <dc:title>Акционерное общество «Первомайский судоремонтный завод»                                                                          БЮЛЛЕТЕНЬ  (для голосования на годовом общем собрании акционеров)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